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1F01" w14:textId="548FF35F" w:rsidR="00D55EFA" w:rsidRPr="00B37F4A" w:rsidRDefault="00D55EFA" w:rsidP="00D55EFA">
      <w:pPr>
        <w:autoSpaceDE w:val="0"/>
        <w:autoSpaceDN w:val="0"/>
        <w:adjustRightInd w:val="0"/>
        <w:spacing w:after="0"/>
        <w:ind w:left="0"/>
        <w:jc w:val="right"/>
        <w:rPr>
          <w:rFonts w:ascii="Arial" w:hAnsi="Arial" w:cs="Arial"/>
          <w:b/>
          <w:bCs/>
          <w:color w:val="000000"/>
        </w:rPr>
      </w:pPr>
      <w:r w:rsidRPr="00B37F4A">
        <w:rPr>
          <w:rFonts w:ascii="Arial" w:hAnsi="Arial" w:cs="Arial"/>
          <w:b/>
          <w:bCs/>
          <w:color w:val="000000"/>
        </w:rPr>
        <w:t>Allegato B</w:t>
      </w:r>
      <w:r w:rsidR="00DC76CB" w:rsidRPr="00B37F4A">
        <w:rPr>
          <w:rFonts w:ascii="Arial" w:hAnsi="Arial" w:cs="Arial"/>
          <w:b/>
          <w:bCs/>
          <w:color w:val="000000"/>
        </w:rPr>
        <w:t>)</w:t>
      </w:r>
      <w:r w:rsidRPr="00B37F4A">
        <w:rPr>
          <w:rFonts w:ascii="Arial" w:hAnsi="Arial" w:cs="Arial"/>
          <w:b/>
          <w:bCs/>
          <w:color w:val="000000"/>
        </w:rPr>
        <w:t xml:space="preserve"> all’Avviso Pubblico</w:t>
      </w:r>
    </w:p>
    <w:p w14:paraId="59C34CF1" w14:textId="77777777" w:rsidR="00D55EFA" w:rsidRPr="00B37F4A" w:rsidRDefault="00D55EFA" w:rsidP="00D55EFA">
      <w:pPr>
        <w:autoSpaceDE w:val="0"/>
        <w:autoSpaceDN w:val="0"/>
        <w:adjustRightInd w:val="0"/>
        <w:spacing w:after="0"/>
        <w:ind w:left="0"/>
        <w:jc w:val="center"/>
        <w:rPr>
          <w:rFonts w:ascii="Arial" w:hAnsi="Arial" w:cs="Arial"/>
          <w:b/>
          <w:bCs/>
          <w:color w:val="000000"/>
        </w:rPr>
      </w:pPr>
    </w:p>
    <w:p w14:paraId="346BA2C0" w14:textId="77777777" w:rsidR="00D55EFA" w:rsidRPr="00B37F4A" w:rsidRDefault="00D55EFA" w:rsidP="00D55EFA">
      <w:pPr>
        <w:autoSpaceDE w:val="0"/>
        <w:autoSpaceDN w:val="0"/>
        <w:adjustRightInd w:val="0"/>
        <w:spacing w:after="0"/>
        <w:ind w:left="0"/>
        <w:jc w:val="center"/>
        <w:rPr>
          <w:rFonts w:ascii="Arial" w:hAnsi="Arial" w:cs="Arial"/>
          <w:b/>
          <w:bCs/>
          <w:color w:val="000000"/>
        </w:rPr>
      </w:pPr>
      <w:r w:rsidRPr="00B37F4A">
        <w:rPr>
          <w:rFonts w:ascii="Arial" w:hAnsi="Arial" w:cs="Arial"/>
          <w:b/>
          <w:bCs/>
          <w:color w:val="000000"/>
        </w:rPr>
        <w:t>CONVENZIONE</w:t>
      </w:r>
    </w:p>
    <w:p w14:paraId="204F7A7E" w14:textId="77777777" w:rsidR="00D55EFA" w:rsidRPr="00B37F4A" w:rsidRDefault="00D55EFA" w:rsidP="00D55EFA">
      <w:pPr>
        <w:autoSpaceDE w:val="0"/>
        <w:autoSpaceDN w:val="0"/>
        <w:adjustRightInd w:val="0"/>
        <w:spacing w:after="0"/>
        <w:ind w:left="0"/>
        <w:rPr>
          <w:rFonts w:ascii="Arial" w:hAnsi="Arial" w:cs="Arial"/>
          <w:b/>
          <w:bCs/>
          <w:color w:val="000000"/>
        </w:rPr>
      </w:pPr>
    </w:p>
    <w:p w14:paraId="241AE5FA" w14:textId="40EF41B8" w:rsidR="00D55EFA" w:rsidRPr="007D79B7" w:rsidRDefault="00D55EFA" w:rsidP="00D55EFA">
      <w:pPr>
        <w:autoSpaceDE w:val="0"/>
        <w:autoSpaceDN w:val="0"/>
        <w:adjustRightInd w:val="0"/>
        <w:ind w:left="0"/>
        <w:rPr>
          <w:rFonts w:ascii="Arial" w:hAnsi="Arial" w:cs="Arial"/>
          <w:b/>
          <w:bCs/>
        </w:rPr>
      </w:pPr>
      <w:r w:rsidRPr="007D79B7">
        <w:rPr>
          <w:rFonts w:ascii="Arial" w:hAnsi="Arial" w:cs="Arial"/>
          <w:b/>
          <w:bCs/>
        </w:rPr>
        <w:t xml:space="preserve">DISCIPLINANTE I RAPPORTI CONTRATTUALI CON GLI AVVOCATI INCARICATI DELLA </w:t>
      </w:r>
      <w:r w:rsidRPr="007D79B7">
        <w:rPr>
          <w:rFonts w:ascii="Arial-BoldMT" w:hAnsi="Arial-BoldMT" w:cs="Arial-BoldMT"/>
          <w:b/>
          <w:bCs/>
        </w:rPr>
        <w:t>DIFESA E RAPPRESENTANZA IN GIUDIZIO DELLA REGIONE EMILIA</w:t>
      </w:r>
      <w:r w:rsidR="007470DB" w:rsidRPr="007D79B7">
        <w:rPr>
          <w:rFonts w:ascii="Arial-BoldMT" w:hAnsi="Arial-BoldMT" w:cs="Arial-BoldMT"/>
          <w:b/>
          <w:bCs/>
        </w:rPr>
        <w:t>-</w:t>
      </w:r>
      <w:r w:rsidRPr="007D79B7">
        <w:rPr>
          <w:rFonts w:ascii="Arial-BoldMT" w:hAnsi="Arial-BoldMT" w:cs="Arial-BoldMT"/>
          <w:b/>
          <w:bCs/>
        </w:rPr>
        <w:t>ROMAGNA E/O DEL PERSONALE REGIONALE (IN APPLICAZIONE DELL’ISTITUTO DEL PATROCINIO LEGALE PREVISTO DALLA VIGENTE CONTRATTAZIONE COLLETTIVA DI LAVORO), NONCHÉ INCARICATI DELLA CONSULENZA PRODROMICA AD UN’EVENTUALE AZIONE GIURISDIZIONALE O PARA-GIURISDIZIONALE</w:t>
      </w:r>
    </w:p>
    <w:p w14:paraId="36F5761F" w14:textId="77777777"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1 – OGGETTO</w:t>
      </w:r>
    </w:p>
    <w:p w14:paraId="01C155FD" w14:textId="77777777" w:rsidR="00D55EFA" w:rsidRPr="007D79B7" w:rsidRDefault="00D55EFA" w:rsidP="00D55EFA">
      <w:pPr>
        <w:autoSpaceDE w:val="0"/>
        <w:autoSpaceDN w:val="0"/>
        <w:adjustRightInd w:val="0"/>
        <w:spacing w:after="0"/>
        <w:ind w:left="0"/>
        <w:rPr>
          <w:rFonts w:ascii="Arial" w:hAnsi="Arial" w:cs="Arial"/>
          <w:b/>
        </w:rPr>
      </w:pPr>
    </w:p>
    <w:p w14:paraId="710C6C67" w14:textId="4CEC4770"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L</w:t>
      </w:r>
      <w:r w:rsidR="0051335D" w:rsidRPr="007D79B7">
        <w:rPr>
          <w:rFonts w:ascii="Arial" w:hAnsi="Arial" w:cs="Arial"/>
        </w:rPr>
        <w:t>a</w:t>
      </w:r>
      <w:r w:rsidRPr="007D79B7">
        <w:rPr>
          <w:rFonts w:ascii="Arial" w:hAnsi="Arial" w:cs="Arial"/>
        </w:rPr>
        <w:t xml:space="preserve"> presente convenzione disciplina le condizioni generali relative all’affidamento ad avvocati del libero Foro di incarichi professionali di difesa e rappresentanza in giudizio della Regione Emilia</w:t>
      </w:r>
      <w:r w:rsidR="007470DB" w:rsidRPr="007D79B7">
        <w:rPr>
          <w:rFonts w:ascii="Arial" w:hAnsi="Arial" w:cs="Arial"/>
        </w:rPr>
        <w:t>-</w:t>
      </w:r>
      <w:r w:rsidRPr="007D79B7">
        <w:rPr>
          <w:rFonts w:ascii="Arial" w:hAnsi="Arial" w:cs="Arial"/>
        </w:rPr>
        <w:t>Romagna e/o del personale regionale (in attuazione dell’istituto del patrocinio legale previsto dalla vigente contrattazione collettiva di lavoro), nonché di incarichi di consulenza prodromica ad un’eventuale azione giurisdizionale o para-giurisdizionale.</w:t>
      </w:r>
    </w:p>
    <w:p w14:paraId="04A78CAE" w14:textId="77777777" w:rsidR="00D55EFA" w:rsidRPr="007D79B7" w:rsidRDefault="00D55EFA" w:rsidP="00D55EFA">
      <w:pPr>
        <w:autoSpaceDE w:val="0"/>
        <w:autoSpaceDN w:val="0"/>
        <w:adjustRightInd w:val="0"/>
        <w:spacing w:after="0"/>
        <w:ind w:left="0"/>
        <w:rPr>
          <w:rFonts w:ascii="Arial" w:hAnsi="Arial" w:cs="Arial"/>
        </w:rPr>
      </w:pPr>
    </w:p>
    <w:p w14:paraId="2ACCB0ED"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La sottoscrizione della presente convenzione è requisito necessario per l’effettivo inserimento nell’Elenco degli avvocati fiduciari dell’Ente e per l’eventuale conferimento di incarichi professionali.</w:t>
      </w:r>
    </w:p>
    <w:p w14:paraId="09AC330B" w14:textId="77777777" w:rsidR="00D55EFA" w:rsidRPr="007D79B7" w:rsidRDefault="00D55EFA" w:rsidP="00D55EFA">
      <w:pPr>
        <w:autoSpaceDE w:val="0"/>
        <w:autoSpaceDN w:val="0"/>
        <w:adjustRightInd w:val="0"/>
        <w:spacing w:after="0"/>
        <w:ind w:left="0"/>
        <w:rPr>
          <w:rFonts w:ascii="Arial" w:hAnsi="Arial" w:cs="Arial"/>
        </w:rPr>
      </w:pPr>
    </w:p>
    <w:p w14:paraId="2E2ED04A"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Le presenti condizioni generali sono vincolanti per il professionista.</w:t>
      </w:r>
    </w:p>
    <w:p w14:paraId="54F96F90" w14:textId="77777777" w:rsidR="00D55EFA" w:rsidRPr="007D79B7" w:rsidRDefault="00D55EFA" w:rsidP="00D55EFA">
      <w:pPr>
        <w:autoSpaceDE w:val="0"/>
        <w:autoSpaceDN w:val="0"/>
        <w:adjustRightInd w:val="0"/>
        <w:spacing w:after="0"/>
        <w:ind w:left="0"/>
        <w:rPr>
          <w:rFonts w:ascii="Arial" w:hAnsi="Arial" w:cs="Arial"/>
        </w:rPr>
      </w:pPr>
    </w:p>
    <w:p w14:paraId="0039C880"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Non sussiste in capo all’Ente o al proprio personale alcun obbligo, né alcun diritto in capo al legale, in ordine al conferimento dell’incarico. </w:t>
      </w:r>
    </w:p>
    <w:p w14:paraId="43CD7A2A" w14:textId="77777777" w:rsidR="00D55EFA" w:rsidRPr="007D79B7" w:rsidRDefault="00D55EFA" w:rsidP="00D55EFA">
      <w:pPr>
        <w:autoSpaceDE w:val="0"/>
        <w:autoSpaceDN w:val="0"/>
        <w:adjustRightInd w:val="0"/>
        <w:spacing w:after="0"/>
        <w:ind w:left="0"/>
        <w:rPr>
          <w:rFonts w:ascii="Arial" w:hAnsi="Arial" w:cs="Arial"/>
        </w:rPr>
      </w:pPr>
    </w:p>
    <w:p w14:paraId="3CD488C8" w14:textId="587936B9"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La convenzione non si applica agli incarichi professionali i cui oneri ricadano nell’ambito delle coperture assicurative di polizza stipulate dalla Regione </w:t>
      </w:r>
      <w:r w:rsidR="007470DB" w:rsidRPr="007D79B7">
        <w:rPr>
          <w:rFonts w:ascii="Arial" w:hAnsi="Arial" w:cs="Arial"/>
        </w:rPr>
        <w:t>Emilia-</w:t>
      </w:r>
      <w:r w:rsidRPr="007D79B7">
        <w:rPr>
          <w:rFonts w:ascii="Arial" w:hAnsi="Arial" w:cs="Arial"/>
        </w:rPr>
        <w:t>Romagna, ma il professionista si obbliga in ogni caso e fin da ora a rispettare le presenti condizioni generali ove pervenga richiesta di adesione alla presente convenzione da parte dell’Istituto Assicurativo che sostiene le spese del contenzioso.</w:t>
      </w:r>
    </w:p>
    <w:p w14:paraId="40903B9F" w14:textId="77777777" w:rsidR="00D55EFA" w:rsidRPr="007D79B7" w:rsidRDefault="00D55EFA" w:rsidP="00D55EFA">
      <w:pPr>
        <w:autoSpaceDE w:val="0"/>
        <w:autoSpaceDN w:val="0"/>
        <w:adjustRightInd w:val="0"/>
        <w:spacing w:after="0"/>
        <w:ind w:left="0"/>
        <w:rPr>
          <w:rFonts w:ascii="Arial" w:hAnsi="Arial" w:cs="Arial"/>
        </w:rPr>
      </w:pPr>
    </w:p>
    <w:p w14:paraId="784C09DE"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b/>
        </w:rPr>
        <w:t>ART. 2 – NATURA DELL’INCARICO</w:t>
      </w:r>
      <w:r w:rsidRPr="007D79B7">
        <w:rPr>
          <w:rFonts w:ascii="Arial" w:hAnsi="Arial" w:cs="Arial"/>
        </w:rPr>
        <w:t>.</w:t>
      </w:r>
    </w:p>
    <w:p w14:paraId="182371F4" w14:textId="77777777" w:rsidR="00D55EFA" w:rsidRPr="007D79B7" w:rsidRDefault="00D55EFA" w:rsidP="00D55EFA">
      <w:pPr>
        <w:autoSpaceDE w:val="0"/>
        <w:autoSpaceDN w:val="0"/>
        <w:adjustRightInd w:val="0"/>
        <w:spacing w:after="0"/>
        <w:ind w:left="0"/>
        <w:rPr>
          <w:rFonts w:ascii="Arial" w:hAnsi="Arial" w:cs="Arial"/>
        </w:rPr>
      </w:pPr>
    </w:p>
    <w:p w14:paraId="22D74B20"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Gli incarichi di cui alla presente convenzione costituiscono prestazione di opera professionale ai sensi dell’art. 2229 e segg. del codice civile e non determinano la costituzione di rapporti di lavoro subordinato.</w:t>
      </w:r>
    </w:p>
    <w:p w14:paraId="3869C7EB" w14:textId="77777777" w:rsidR="00D55EFA" w:rsidRPr="007D79B7" w:rsidRDefault="00D55EFA" w:rsidP="00D55EFA">
      <w:pPr>
        <w:autoSpaceDE w:val="0"/>
        <w:autoSpaceDN w:val="0"/>
        <w:adjustRightInd w:val="0"/>
        <w:spacing w:after="0"/>
        <w:ind w:left="0"/>
        <w:rPr>
          <w:rFonts w:ascii="Arial" w:hAnsi="Arial" w:cs="Arial"/>
        </w:rPr>
      </w:pPr>
    </w:p>
    <w:p w14:paraId="4D274C2D" w14:textId="77777777"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3 – ACCETTAZIONE DELL’INCARICO E MODALITÀ DI ESPLETAMENTO</w:t>
      </w:r>
    </w:p>
    <w:p w14:paraId="77A230F6" w14:textId="77777777" w:rsidR="00D55EFA" w:rsidRPr="007D79B7" w:rsidRDefault="00D55EFA" w:rsidP="00D55EFA">
      <w:pPr>
        <w:autoSpaceDE w:val="0"/>
        <w:autoSpaceDN w:val="0"/>
        <w:adjustRightInd w:val="0"/>
        <w:spacing w:after="0"/>
        <w:ind w:left="0"/>
        <w:rPr>
          <w:rFonts w:ascii="Arial" w:hAnsi="Arial" w:cs="Arial"/>
        </w:rPr>
      </w:pPr>
    </w:p>
    <w:p w14:paraId="243D4CAC"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L’Avvocato incaricato si impegna ad accettare gli incarichi che gli saranno conferiti (salvo impedimento legittimo o conflitto di interessi) e a svolgere l’attività conseguente nel rispetto delle norme di legge e delle norme deontologiche stabilite dall’Ordine professionale di appartenenza, con particolare riguardo all’osservanza dei doveri di lealtà, correttezza, diligenza, segretezza e riservatezza.</w:t>
      </w:r>
    </w:p>
    <w:p w14:paraId="5EB32D56" w14:textId="77777777" w:rsidR="00D55EFA" w:rsidRPr="007D79B7" w:rsidRDefault="00D55EFA" w:rsidP="00D55EFA">
      <w:pPr>
        <w:autoSpaceDE w:val="0"/>
        <w:autoSpaceDN w:val="0"/>
        <w:adjustRightInd w:val="0"/>
        <w:spacing w:after="0"/>
        <w:ind w:left="0"/>
        <w:rPr>
          <w:rFonts w:ascii="Arial" w:hAnsi="Arial" w:cs="Arial"/>
        </w:rPr>
      </w:pPr>
    </w:p>
    <w:p w14:paraId="1ADF27B1"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Ai fini del perfezionamento dell’incarico, il professionista dovrà trasmettere preventivo ai sensi dell’art. 9 del decreto-legge 24 gennaio 2012, n. 1, convertito, con modificazioni, dalla legge 24 marzo 2012, n. 27 e rilasciare dichiarazione di insussistenza di situazioni anche potenziali di conflitto di interessi nonché dichiarazione di insussistenza di situazioni di incompatibilità con lo svolgimento dell’attività professionale previste dalla legislazione vigente.</w:t>
      </w:r>
    </w:p>
    <w:p w14:paraId="7E0276E8" w14:textId="77777777" w:rsidR="00D55EFA" w:rsidRPr="007D79B7" w:rsidRDefault="00D55EFA" w:rsidP="00D55EFA">
      <w:pPr>
        <w:autoSpaceDE w:val="0"/>
        <w:autoSpaceDN w:val="0"/>
        <w:adjustRightInd w:val="0"/>
        <w:spacing w:after="0"/>
        <w:ind w:left="0"/>
        <w:rPr>
          <w:rFonts w:ascii="Arial" w:hAnsi="Arial" w:cs="Arial"/>
        </w:rPr>
      </w:pPr>
    </w:p>
    <w:p w14:paraId="3F9898AB"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Nel caso in cui il conflitto di interessi e/o l’incompatibilità </w:t>
      </w:r>
      <w:r w:rsidRPr="007D79B7">
        <w:rPr>
          <w:rFonts w:ascii="Arial" w:hAnsi="Arial" w:cs="Arial"/>
          <w:i/>
        </w:rPr>
        <w:t>ex lege</w:t>
      </w:r>
      <w:r w:rsidRPr="007D79B7">
        <w:rPr>
          <w:rFonts w:ascii="Arial" w:hAnsi="Arial" w:cs="Arial"/>
        </w:rPr>
        <w:t xml:space="preserve"> dovessero sorgere nel corso dell’espletamento del mandato, anche in epoca successiva al termine di validità dell’Elenco, il professionista dovrà prontamente dichiarare tali situazioni ed astenersi dal proseguire nelle attività di assistenza e di difesa.</w:t>
      </w:r>
    </w:p>
    <w:p w14:paraId="5C25B1A9" w14:textId="61AC151E"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lastRenderedPageBreak/>
        <w:t xml:space="preserve">Nel periodo di iscrizione nell’Elenco nonché nel periodo di svolgimento delle attività di patrocinio derivanti dall’iscrizione nell’Elenco suddetto, il professionista si obbliga in ogni caso a non avere rapporti di patrocinio contro la Regione </w:t>
      </w:r>
      <w:r w:rsidR="007470DB" w:rsidRPr="007D79B7">
        <w:rPr>
          <w:rFonts w:ascii="Arial" w:hAnsi="Arial" w:cs="Arial"/>
        </w:rPr>
        <w:t>Emilia-</w:t>
      </w:r>
      <w:r w:rsidRPr="007D79B7">
        <w:rPr>
          <w:rFonts w:ascii="Arial" w:hAnsi="Arial" w:cs="Arial"/>
        </w:rPr>
        <w:t>Romagna, contro i componenti dei suoi organi istituzionali e contro il personale dell’Ente per fatti o atti direttamente connessi all’espletamento delle rispettive funzioni.</w:t>
      </w:r>
    </w:p>
    <w:p w14:paraId="2D1D7C8F" w14:textId="77777777" w:rsidR="00D55EFA" w:rsidRPr="007D79B7" w:rsidRDefault="00D55EFA" w:rsidP="00D55EFA">
      <w:pPr>
        <w:autoSpaceDE w:val="0"/>
        <w:autoSpaceDN w:val="0"/>
        <w:adjustRightInd w:val="0"/>
        <w:spacing w:after="0"/>
        <w:ind w:left="0"/>
        <w:rPr>
          <w:rFonts w:ascii="Arial" w:hAnsi="Arial" w:cs="Arial"/>
        </w:rPr>
      </w:pPr>
    </w:p>
    <w:p w14:paraId="5F403D75"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A tale obbligo soggiacciono anche i componenti dell’associazione o società professionale di cui eventualmente faccia parte il professionista, ai sensi dell’art. 24 del Codice Deontologico Forense.</w:t>
      </w:r>
    </w:p>
    <w:p w14:paraId="3E82A498" w14:textId="77777777" w:rsidR="00D55EFA" w:rsidRPr="007D79B7" w:rsidRDefault="00D55EFA" w:rsidP="00D55EFA">
      <w:pPr>
        <w:autoSpaceDE w:val="0"/>
        <w:autoSpaceDN w:val="0"/>
        <w:adjustRightInd w:val="0"/>
        <w:spacing w:after="0"/>
        <w:ind w:left="0"/>
        <w:rPr>
          <w:rFonts w:ascii="Arial" w:hAnsi="Arial" w:cs="Arial"/>
        </w:rPr>
      </w:pPr>
    </w:p>
    <w:p w14:paraId="34F1350F" w14:textId="53826FAA"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Il professionista dovrà trasmettere tempestivamente </w:t>
      </w:r>
      <w:r w:rsidR="00015B67" w:rsidRPr="007D79B7">
        <w:rPr>
          <w:rFonts w:ascii="Arial" w:hAnsi="Arial" w:cs="Arial"/>
        </w:rPr>
        <w:t xml:space="preserve">al Settore </w:t>
      </w:r>
      <w:r w:rsidR="00541178" w:rsidRPr="007D79B7">
        <w:rPr>
          <w:rFonts w:ascii="Arial" w:hAnsi="Arial" w:cs="Arial"/>
        </w:rPr>
        <w:t xml:space="preserve">Avvocatura e </w:t>
      </w:r>
      <w:r w:rsidR="00015B67" w:rsidRPr="007D79B7">
        <w:rPr>
          <w:rFonts w:ascii="Arial" w:hAnsi="Arial" w:cs="Arial"/>
        </w:rPr>
        <w:t xml:space="preserve">Contenzioso </w:t>
      </w:r>
      <w:r w:rsidRPr="007D79B7">
        <w:rPr>
          <w:rFonts w:ascii="Arial" w:hAnsi="Arial" w:cs="Arial"/>
        </w:rPr>
        <w:t>e all’assistito tutti gli atti di causa e fornire aggiornamenti circa lo stato del procedimento, e dovrà rendere i necessari pareri e consulenze preordinati all’espletamento dell’incarico conferito, anche partecipando ad incontri, ove richiesto.</w:t>
      </w:r>
    </w:p>
    <w:p w14:paraId="248D5220" w14:textId="77777777" w:rsidR="00D55EFA" w:rsidRPr="007D79B7" w:rsidRDefault="00D55EFA" w:rsidP="00D55EFA">
      <w:pPr>
        <w:autoSpaceDE w:val="0"/>
        <w:autoSpaceDN w:val="0"/>
        <w:adjustRightInd w:val="0"/>
        <w:spacing w:after="0"/>
        <w:ind w:left="0"/>
        <w:rPr>
          <w:rFonts w:ascii="Arial" w:hAnsi="Arial" w:cs="Arial"/>
        </w:rPr>
      </w:pPr>
    </w:p>
    <w:p w14:paraId="5C9448A6"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Il professionista si impegna a svolgere il mandato personalmente e in piena autonomia tecnico-organizzativa, garantendo la propria personale reperibilità sia nello svolgimento di incarichi conferiti dall’Ente, sia nello svolgimento di incarichi conferiti dal personale regionale in attuazione dell’istituto del patrocinio legale previsto dalla vigente contrattazione collettiva di lavoro.</w:t>
      </w:r>
    </w:p>
    <w:p w14:paraId="3FB3FCE5" w14:textId="77777777" w:rsidR="00D55EFA" w:rsidRPr="007D79B7" w:rsidRDefault="00D55EFA" w:rsidP="00D55EFA">
      <w:pPr>
        <w:autoSpaceDE w:val="0"/>
        <w:autoSpaceDN w:val="0"/>
        <w:adjustRightInd w:val="0"/>
        <w:spacing w:after="0"/>
        <w:ind w:left="0"/>
        <w:rPr>
          <w:rFonts w:ascii="Arial" w:hAnsi="Arial" w:cs="Arial"/>
        </w:rPr>
      </w:pPr>
    </w:p>
    <w:p w14:paraId="76F9A8F1"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Qualora il professionista incaricato chieda l’estensione del mandato ad altro professionista appartenente al medesimo studio legale, quest’ultimo potrà occuparsi esclusivamente di aspetti marginali della prestazione, sarà tenuto al rispetto delle condizioni di cui alla presente convenzione e il compenso per l’attività prestata, come risultante dal preventivo approvato, non potrà in ogni caso prevedere aumenti di sorta.</w:t>
      </w:r>
    </w:p>
    <w:p w14:paraId="62D317E4" w14:textId="77777777" w:rsidR="00D55EFA" w:rsidRPr="007D79B7" w:rsidRDefault="00D55EFA" w:rsidP="00D55EFA">
      <w:pPr>
        <w:autoSpaceDE w:val="0"/>
        <w:autoSpaceDN w:val="0"/>
        <w:adjustRightInd w:val="0"/>
        <w:spacing w:after="0"/>
        <w:ind w:left="0"/>
        <w:rPr>
          <w:rFonts w:ascii="Arial" w:hAnsi="Arial" w:cs="Arial"/>
        </w:rPr>
      </w:pPr>
    </w:p>
    <w:p w14:paraId="574866DC"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Nell’ipotesi in cui il professionista non disponga di una sede del proprio studio nella circoscrizione territoriale del Giudice davanti al quale è chiamato a svolgere l’incarico, potrà eventualmente avvalersi dell’opera di domiciliatari di cui dovrà fornire preventivo che dovrà essere previamente approvato dall’Ente prima del formale conferimento dell’incarico.</w:t>
      </w:r>
    </w:p>
    <w:p w14:paraId="0F9EE862" w14:textId="77777777" w:rsidR="00D55EFA" w:rsidRPr="007D79B7" w:rsidRDefault="00D55EFA" w:rsidP="00D55EFA">
      <w:pPr>
        <w:autoSpaceDE w:val="0"/>
        <w:autoSpaceDN w:val="0"/>
        <w:adjustRightInd w:val="0"/>
        <w:spacing w:after="0"/>
        <w:ind w:left="0"/>
        <w:rPr>
          <w:rFonts w:ascii="Arial" w:hAnsi="Arial" w:cs="Arial"/>
        </w:rPr>
      </w:pPr>
    </w:p>
    <w:p w14:paraId="5E459EA3" w14:textId="77777777"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4 – CONFERIMENTO DI INCARICHI DI CONSULENZE</w:t>
      </w:r>
    </w:p>
    <w:p w14:paraId="2FE3C568" w14:textId="77777777" w:rsidR="00D55EFA" w:rsidRPr="007D79B7" w:rsidRDefault="00D55EFA" w:rsidP="00D55EFA">
      <w:pPr>
        <w:autoSpaceDE w:val="0"/>
        <w:autoSpaceDN w:val="0"/>
        <w:adjustRightInd w:val="0"/>
        <w:spacing w:after="0"/>
        <w:ind w:left="0"/>
        <w:rPr>
          <w:rFonts w:ascii="Arial" w:hAnsi="Arial" w:cs="Arial"/>
        </w:rPr>
      </w:pPr>
    </w:p>
    <w:p w14:paraId="5018F9BA" w14:textId="3AC553C1"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Qualora nel corso della controversia emerga la necessità di procedere alla nomina di consulenti tecnici, il professionista si impegna ad informare immediatamente </w:t>
      </w:r>
      <w:r w:rsidR="00514E0D" w:rsidRPr="007D79B7">
        <w:rPr>
          <w:rFonts w:ascii="Arial" w:hAnsi="Arial" w:cs="Arial"/>
        </w:rPr>
        <w:t xml:space="preserve">il Settore </w:t>
      </w:r>
      <w:r w:rsidR="00541178" w:rsidRPr="007D79B7">
        <w:rPr>
          <w:rFonts w:ascii="Arial" w:hAnsi="Arial" w:cs="Arial"/>
        </w:rPr>
        <w:t xml:space="preserve">Avvocatura e </w:t>
      </w:r>
      <w:r w:rsidR="00514E0D" w:rsidRPr="007D79B7">
        <w:rPr>
          <w:rFonts w:ascii="Arial" w:hAnsi="Arial" w:cs="Arial"/>
        </w:rPr>
        <w:t xml:space="preserve">Contenzioso </w:t>
      </w:r>
      <w:r w:rsidRPr="007D79B7">
        <w:rPr>
          <w:rFonts w:ascii="Arial" w:hAnsi="Arial" w:cs="Arial"/>
        </w:rPr>
        <w:t>ed il proprio assistito e a trasmettere il preventivo del perito ai fini dell’adozione degli atti e provvedimenti conseguenti.</w:t>
      </w:r>
    </w:p>
    <w:p w14:paraId="69313154" w14:textId="77777777" w:rsidR="00D55EFA" w:rsidRPr="007D79B7" w:rsidRDefault="00D55EFA" w:rsidP="00D55EFA">
      <w:pPr>
        <w:autoSpaceDE w:val="0"/>
        <w:autoSpaceDN w:val="0"/>
        <w:adjustRightInd w:val="0"/>
        <w:spacing w:after="0"/>
        <w:ind w:left="0"/>
        <w:rPr>
          <w:rFonts w:ascii="Arial" w:hAnsi="Arial" w:cs="Arial"/>
        </w:rPr>
      </w:pPr>
    </w:p>
    <w:p w14:paraId="1F3E5EC6" w14:textId="77777777"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5 – DETERMINAZIONE DEL COMPENSO</w:t>
      </w:r>
    </w:p>
    <w:p w14:paraId="36C6A40D" w14:textId="77777777" w:rsidR="00D55EFA" w:rsidRPr="007D79B7" w:rsidRDefault="00D55EFA" w:rsidP="00D55EFA">
      <w:pPr>
        <w:autoSpaceDE w:val="0"/>
        <w:autoSpaceDN w:val="0"/>
        <w:adjustRightInd w:val="0"/>
        <w:spacing w:after="0"/>
        <w:ind w:left="0"/>
        <w:rPr>
          <w:rFonts w:ascii="Arial" w:hAnsi="Arial" w:cs="Arial"/>
        </w:rPr>
      </w:pPr>
    </w:p>
    <w:p w14:paraId="7D90638E" w14:textId="0CBA84D4"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Quale corrispettivo dell’attività professionale svolta, il professionista avrà diritto ad un compenso </w:t>
      </w:r>
      <w:r w:rsidR="00D44467" w:rsidRPr="007D79B7">
        <w:rPr>
          <w:rFonts w:ascii="Arial" w:hAnsi="Arial" w:cs="Arial"/>
        </w:rPr>
        <w:t xml:space="preserve">che </w:t>
      </w:r>
      <w:r w:rsidR="00E46637" w:rsidRPr="007D79B7">
        <w:rPr>
          <w:rFonts w:ascii="Arial" w:hAnsi="Arial" w:cs="Arial"/>
        </w:rPr>
        <w:t>non potrà essere superiore ai parametri medi indicati</w:t>
      </w:r>
      <w:r w:rsidRPr="007D79B7">
        <w:rPr>
          <w:rFonts w:ascii="Arial" w:hAnsi="Arial" w:cs="Arial"/>
        </w:rPr>
        <w:t xml:space="preserve"> nelle tabelle allegate al D.M. n. 55 del 10 marzo 2014 e successive modifiche e integrazioni, cui dovrà applicare i seguenti abbattimenti percentuali:</w:t>
      </w:r>
    </w:p>
    <w:p w14:paraId="274840D0"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di recupero crediti - 45 %</w:t>
      </w:r>
    </w:p>
    <w:p w14:paraId="19EB39B7"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procedimenti civili e commerciali diversi dal recupero crediti - 40 %</w:t>
      </w:r>
    </w:p>
    <w:p w14:paraId="46D1804B" w14:textId="77777777" w:rsidR="004B59BF" w:rsidRPr="007D79B7" w:rsidRDefault="004B59BF" w:rsidP="004B59BF">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procedimenti di mediazione, negoziazione assistita e conciliazione - 40%</w:t>
      </w:r>
    </w:p>
    <w:p w14:paraId="7011E643"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procedure concorsuali e fallimentari - 35 %</w:t>
      </w:r>
    </w:p>
    <w:p w14:paraId="79BB8ECC"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procedimenti amministrativi - 30 %</w:t>
      </w:r>
    </w:p>
    <w:p w14:paraId="2B622F0F"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innanzi al Tribunale Regionale delle Acque Pubbliche - 30 %</w:t>
      </w:r>
    </w:p>
    <w:p w14:paraId="70B40B2B"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innanzi al Tribunale Superiore delle Acque Pubbliche - 30 %</w:t>
      </w:r>
    </w:p>
    <w:p w14:paraId="461D5DB7"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procedimenti del lavoro e sindacale, previdenza, assistenza - 25 %</w:t>
      </w:r>
    </w:p>
    <w:p w14:paraId="6FA1214D"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procedimenti tributari - 20 %</w:t>
      </w:r>
    </w:p>
    <w:p w14:paraId="13876F6D"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 procedimenti penali - 15 %</w:t>
      </w:r>
    </w:p>
    <w:p w14:paraId="4DCA642A" w14:textId="77777777" w:rsidR="00D55EFA" w:rsidRPr="007D79B7" w:rsidRDefault="00D55EFA" w:rsidP="00D55EFA">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innanzi alla Corte Costituzionale, innanzi alle autorità amministrative indipendenti o innanzi alle Corti europee - 10 %</w:t>
      </w:r>
    </w:p>
    <w:p w14:paraId="73292CD8" w14:textId="77777777" w:rsidR="00296BFD" w:rsidRPr="007D79B7" w:rsidRDefault="00296BFD" w:rsidP="00296BFD">
      <w:pPr>
        <w:numPr>
          <w:ilvl w:val="0"/>
          <w:numId w:val="3"/>
        </w:numPr>
        <w:autoSpaceDE w:val="0"/>
        <w:autoSpaceDN w:val="0"/>
        <w:adjustRightInd w:val="0"/>
        <w:spacing w:after="0"/>
        <w:ind w:left="284" w:hanging="284"/>
        <w:rPr>
          <w:rFonts w:ascii="Arial" w:hAnsi="Arial" w:cs="Arial"/>
        </w:rPr>
      </w:pPr>
      <w:r w:rsidRPr="007D79B7">
        <w:rPr>
          <w:rFonts w:ascii="Arial" w:hAnsi="Arial" w:cs="Arial"/>
        </w:rPr>
        <w:t>per gli incarichi di assistenza stragiudiziale - 10 %</w:t>
      </w:r>
    </w:p>
    <w:p w14:paraId="0ACA0FFE" w14:textId="77777777" w:rsidR="003F5976" w:rsidRPr="007D79B7" w:rsidRDefault="003F5976" w:rsidP="00D55EFA">
      <w:pPr>
        <w:autoSpaceDE w:val="0"/>
        <w:autoSpaceDN w:val="0"/>
        <w:adjustRightInd w:val="0"/>
        <w:spacing w:after="0"/>
        <w:ind w:left="0"/>
        <w:rPr>
          <w:rFonts w:ascii="Arial" w:hAnsi="Arial" w:cs="Arial"/>
        </w:rPr>
      </w:pPr>
    </w:p>
    <w:p w14:paraId="66928AFB" w14:textId="52C2808A"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lastRenderedPageBreak/>
        <w:t xml:space="preserve">Il compenso richiesto dovrà essere dettagliato in un preventivo da redigersi ai sensi dell’art. 9 del decreto-legge 24 gennaio 2012, n. 1, convertito, con modificazioni, dalla legge 24 marzo 2012, n. 27 e successive modifiche e integrazioni, applicando le voci e i parametri riportati nelle tabelle allegate al citato D.M. n. 55/2014 con le decurtazioni percentuali sopra indicate e dovrà prevedere un rimborso </w:t>
      </w:r>
      <w:r w:rsidR="00C711DB" w:rsidRPr="007D79B7">
        <w:rPr>
          <w:rFonts w:ascii="Arial" w:hAnsi="Arial" w:cs="Arial"/>
        </w:rPr>
        <w:t>del</w:t>
      </w:r>
      <w:r w:rsidRPr="007D79B7">
        <w:rPr>
          <w:rFonts w:ascii="Arial" w:hAnsi="Arial" w:cs="Arial"/>
        </w:rPr>
        <w:t xml:space="preserve"> </w:t>
      </w:r>
      <w:r w:rsidR="00514E0D" w:rsidRPr="007D79B7">
        <w:rPr>
          <w:rFonts w:ascii="Arial" w:hAnsi="Arial" w:cs="Arial"/>
        </w:rPr>
        <w:t>15</w:t>
      </w:r>
      <w:r w:rsidRPr="007D79B7">
        <w:rPr>
          <w:rFonts w:ascii="Arial" w:hAnsi="Arial" w:cs="Arial"/>
        </w:rPr>
        <w:t xml:space="preserve"> % per spese generali, ai sensi dell’art. 2, comma 2, del medesimo D.M. n. 55/2014, da calcolarsi sui compensi come sopra abbattuti.</w:t>
      </w:r>
    </w:p>
    <w:p w14:paraId="1EEAB5DF" w14:textId="77777777" w:rsidR="00D55EFA" w:rsidRPr="007D79B7" w:rsidRDefault="00D55EFA" w:rsidP="00D55EFA">
      <w:pPr>
        <w:autoSpaceDE w:val="0"/>
        <w:autoSpaceDN w:val="0"/>
        <w:adjustRightInd w:val="0"/>
        <w:spacing w:after="0"/>
        <w:ind w:left="0"/>
        <w:rPr>
          <w:rFonts w:ascii="Arial" w:hAnsi="Arial" w:cs="Arial"/>
        </w:rPr>
      </w:pPr>
    </w:p>
    <w:p w14:paraId="2D4FFB10"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Saranno, altresì, riconosciute le spese vive documentate e motivate.</w:t>
      </w:r>
    </w:p>
    <w:p w14:paraId="705F607D" w14:textId="77777777" w:rsidR="00D55EFA" w:rsidRPr="007D79B7" w:rsidRDefault="00D55EFA" w:rsidP="00D55EFA">
      <w:pPr>
        <w:autoSpaceDE w:val="0"/>
        <w:autoSpaceDN w:val="0"/>
        <w:adjustRightInd w:val="0"/>
        <w:spacing w:after="0"/>
        <w:ind w:left="0"/>
        <w:rPr>
          <w:rFonts w:ascii="Arial" w:hAnsi="Arial" w:cs="Arial"/>
        </w:rPr>
      </w:pPr>
    </w:p>
    <w:p w14:paraId="160586C9"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Per determinare il valore della controversia ai fini del calcolo del compenso, nei giudizi diversi da quelli penali, si fa normalmente riferimento al valore complessivo delle domande proposte dalle parti. Ove, tuttavia, le richieste avanzate in causa siano abnormi ed esorbitanti rispetto all’effettiva entità economica della vertenza, si avrà riguardo al valore effettivo della lite considerando anche gli interessi sostanziali perseguiti dalle parti.</w:t>
      </w:r>
    </w:p>
    <w:p w14:paraId="5230C2CA" w14:textId="77777777" w:rsidR="00D55EFA" w:rsidRPr="007D79B7" w:rsidRDefault="00D55EFA" w:rsidP="00D55EFA">
      <w:pPr>
        <w:autoSpaceDE w:val="0"/>
        <w:autoSpaceDN w:val="0"/>
        <w:adjustRightInd w:val="0"/>
        <w:spacing w:after="0"/>
        <w:ind w:left="0"/>
        <w:rPr>
          <w:rFonts w:ascii="Arial" w:hAnsi="Arial" w:cs="Arial"/>
          <w:strike/>
        </w:rPr>
      </w:pPr>
    </w:p>
    <w:p w14:paraId="33ADB373"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Nel caso di conciliazione o transazione nel corso del giudizio, si applica l’art. 4, comma 6, del D.M. n. 55/2014.</w:t>
      </w:r>
    </w:p>
    <w:p w14:paraId="29CA041E" w14:textId="77777777" w:rsidR="00D55EFA" w:rsidRPr="007D79B7" w:rsidRDefault="00D55EFA" w:rsidP="00D55EFA">
      <w:pPr>
        <w:autoSpaceDE w:val="0"/>
        <w:autoSpaceDN w:val="0"/>
        <w:adjustRightInd w:val="0"/>
        <w:spacing w:after="0"/>
        <w:ind w:left="0"/>
        <w:rPr>
          <w:rFonts w:ascii="Arial" w:hAnsi="Arial" w:cs="Arial"/>
        </w:rPr>
      </w:pPr>
    </w:p>
    <w:p w14:paraId="460CB55C"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Ove l’avvocato domiciliatario o il perito di parte sia indicato dal professionista incaricato, il relativo preventivo dovrà essere preventivamente approvato dall’Ente prima del formale conferimento dell’incarico.</w:t>
      </w:r>
    </w:p>
    <w:p w14:paraId="709668AE" w14:textId="77777777" w:rsidR="00D55EFA" w:rsidRPr="007D79B7" w:rsidRDefault="00D55EFA" w:rsidP="00D55EFA">
      <w:pPr>
        <w:autoSpaceDE w:val="0"/>
        <w:autoSpaceDN w:val="0"/>
        <w:adjustRightInd w:val="0"/>
        <w:spacing w:after="0"/>
        <w:ind w:left="0"/>
        <w:rPr>
          <w:rFonts w:ascii="Arial" w:hAnsi="Arial" w:cs="Arial"/>
        </w:rPr>
      </w:pPr>
    </w:p>
    <w:p w14:paraId="510710FA" w14:textId="663561F3" w:rsidR="005276EE" w:rsidRPr="007D79B7" w:rsidRDefault="005276EE" w:rsidP="005276EE">
      <w:pPr>
        <w:autoSpaceDE w:val="0"/>
        <w:autoSpaceDN w:val="0"/>
        <w:adjustRightInd w:val="0"/>
        <w:spacing w:after="0"/>
        <w:ind w:left="0"/>
        <w:rPr>
          <w:rFonts w:ascii="Arial" w:hAnsi="Arial" w:cs="Arial"/>
        </w:rPr>
      </w:pPr>
      <w:r w:rsidRPr="007D79B7">
        <w:rPr>
          <w:rFonts w:ascii="Arial" w:hAnsi="Arial" w:cs="Arial"/>
        </w:rPr>
        <w:t xml:space="preserve">Qualora il giudice liquidi in favore dell’Ente spese legali in misura superiore a quella indicata nel preventivo, le stesse verranno riconosciute al professionista </w:t>
      </w:r>
      <w:r w:rsidR="00C711DB" w:rsidRPr="007D79B7">
        <w:rPr>
          <w:rFonts w:ascii="Arial" w:hAnsi="Arial" w:cs="Arial"/>
        </w:rPr>
        <w:t xml:space="preserve">solo </w:t>
      </w:r>
      <w:r w:rsidRPr="007D79B7">
        <w:rPr>
          <w:rFonts w:ascii="Arial" w:hAnsi="Arial" w:cs="Arial"/>
        </w:rPr>
        <w:t>quando effettivamente corrisposte o recuperate dalla controparte e previa presentazione di parcella integrativa.</w:t>
      </w:r>
    </w:p>
    <w:p w14:paraId="66A08487" w14:textId="77777777" w:rsidR="005276EE" w:rsidRPr="007D79B7" w:rsidRDefault="005276EE" w:rsidP="00D55EFA">
      <w:pPr>
        <w:autoSpaceDE w:val="0"/>
        <w:autoSpaceDN w:val="0"/>
        <w:adjustRightInd w:val="0"/>
        <w:spacing w:after="0"/>
        <w:ind w:left="0"/>
        <w:rPr>
          <w:rFonts w:ascii="Arial" w:hAnsi="Arial" w:cs="Arial"/>
          <w:b/>
        </w:rPr>
      </w:pPr>
    </w:p>
    <w:p w14:paraId="1143E4BF" w14:textId="7D920A42"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6 – MODALITÀ DI CORRESPONSIONE DEL COMPENSO</w:t>
      </w:r>
    </w:p>
    <w:p w14:paraId="74AB2B0E" w14:textId="77777777" w:rsidR="00D55EFA" w:rsidRPr="007D79B7" w:rsidRDefault="00D55EFA" w:rsidP="00D55EFA">
      <w:pPr>
        <w:autoSpaceDE w:val="0"/>
        <w:autoSpaceDN w:val="0"/>
        <w:adjustRightInd w:val="0"/>
        <w:spacing w:after="0"/>
        <w:ind w:left="0"/>
        <w:rPr>
          <w:rFonts w:ascii="Arial" w:hAnsi="Arial" w:cs="Arial"/>
        </w:rPr>
      </w:pPr>
    </w:p>
    <w:p w14:paraId="659FB6B6"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All’atto del conferimento dell’incarico iI legale potrà chiedere anticipi di somme nella misura del 30 % del preventivo oltre a spese vive documentate.</w:t>
      </w:r>
    </w:p>
    <w:p w14:paraId="3B31636C"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Eventuali acconti in misura superiore al 30 % saranno liquidati solo previa dimostrazione dell’effettiva attività prestata.</w:t>
      </w:r>
    </w:p>
    <w:p w14:paraId="70BFF103" w14:textId="77777777" w:rsidR="00D55EFA" w:rsidRPr="007D79B7" w:rsidRDefault="00D55EFA" w:rsidP="00D55EFA">
      <w:pPr>
        <w:autoSpaceDE w:val="0"/>
        <w:autoSpaceDN w:val="0"/>
        <w:adjustRightInd w:val="0"/>
        <w:spacing w:after="0"/>
        <w:ind w:left="0"/>
        <w:rPr>
          <w:rFonts w:ascii="Arial" w:hAnsi="Arial" w:cs="Arial"/>
        </w:rPr>
      </w:pPr>
    </w:p>
    <w:p w14:paraId="0E8DE492"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Il pagamento verrà effettuato a seguito di presentazione di fattura elettronica.</w:t>
      </w:r>
    </w:p>
    <w:p w14:paraId="74867ED7" w14:textId="77777777" w:rsidR="00D55EFA" w:rsidRPr="007D79B7" w:rsidRDefault="00D55EFA" w:rsidP="00D55EFA">
      <w:pPr>
        <w:autoSpaceDE w:val="0"/>
        <w:autoSpaceDN w:val="0"/>
        <w:adjustRightInd w:val="0"/>
        <w:spacing w:after="0"/>
        <w:ind w:left="0"/>
        <w:rPr>
          <w:rFonts w:ascii="Arial" w:hAnsi="Arial" w:cs="Arial"/>
        </w:rPr>
      </w:pPr>
    </w:p>
    <w:p w14:paraId="66BCFB15" w14:textId="378D202B"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Per la corresponsione del saldo il professionista dovrà preventivamente inviare </w:t>
      </w:r>
      <w:r w:rsidR="00C51D97" w:rsidRPr="007D79B7">
        <w:rPr>
          <w:rFonts w:ascii="Arial" w:hAnsi="Arial" w:cs="Arial"/>
        </w:rPr>
        <w:t xml:space="preserve">al Settore </w:t>
      </w:r>
      <w:r w:rsidR="00541178" w:rsidRPr="007D79B7">
        <w:rPr>
          <w:rFonts w:ascii="Arial" w:hAnsi="Arial" w:cs="Arial"/>
        </w:rPr>
        <w:t xml:space="preserve">Avvocatura e </w:t>
      </w:r>
      <w:r w:rsidR="00C51D97" w:rsidRPr="007D79B7">
        <w:rPr>
          <w:rFonts w:ascii="Arial" w:hAnsi="Arial" w:cs="Arial"/>
        </w:rPr>
        <w:t>Contenzioso</w:t>
      </w:r>
      <w:r w:rsidRPr="007D79B7">
        <w:rPr>
          <w:rFonts w:ascii="Arial" w:hAnsi="Arial" w:cs="Arial"/>
        </w:rPr>
        <w:t xml:space="preserve"> una nota pro forma che, al pari del preventivo, dovrà contenere l’analitica descrizione delle attività svolte in esecuzione dell’incarico con indicazione, per ciascuna voce, dei compensi applicati, nonché delle spese sostenute.</w:t>
      </w:r>
    </w:p>
    <w:p w14:paraId="7AF953EE" w14:textId="77777777" w:rsidR="00D55EFA" w:rsidRPr="007D79B7" w:rsidRDefault="00D55EFA" w:rsidP="00D55EFA">
      <w:pPr>
        <w:autoSpaceDE w:val="0"/>
        <w:autoSpaceDN w:val="0"/>
        <w:adjustRightInd w:val="0"/>
        <w:spacing w:after="0"/>
        <w:ind w:left="0"/>
        <w:rPr>
          <w:rFonts w:ascii="Arial" w:hAnsi="Arial" w:cs="Arial"/>
        </w:rPr>
      </w:pPr>
    </w:p>
    <w:p w14:paraId="4A15C29A"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All’esito dei controlli contabili e di congruità economica della nota pro forma, il professionista riceverà il benestare all’emissione della fattura elettronica.</w:t>
      </w:r>
    </w:p>
    <w:p w14:paraId="3FD77293" w14:textId="77777777" w:rsidR="00D55EFA" w:rsidRPr="007D79B7" w:rsidRDefault="00D55EFA" w:rsidP="00D55EFA">
      <w:pPr>
        <w:autoSpaceDE w:val="0"/>
        <w:autoSpaceDN w:val="0"/>
        <w:adjustRightInd w:val="0"/>
        <w:spacing w:after="0"/>
        <w:ind w:left="0"/>
        <w:rPr>
          <w:rFonts w:ascii="Arial" w:hAnsi="Arial" w:cs="Arial"/>
        </w:rPr>
      </w:pPr>
    </w:p>
    <w:p w14:paraId="47534911" w14:textId="77777777"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Il compenso sarà liquidato al professionista in esito alla vertenza e comprenderà anche il rimborso delle spese vive sostenute giustificate in relazione all’esecuzione dell’incarico, se ed in quanto analiticamente documentate e debitamente motivate.</w:t>
      </w:r>
    </w:p>
    <w:p w14:paraId="6126FEF2" w14:textId="77777777" w:rsidR="00D55EFA" w:rsidRPr="007D79B7" w:rsidRDefault="00D55EFA" w:rsidP="00D55EFA">
      <w:pPr>
        <w:autoSpaceDE w:val="0"/>
        <w:autoSpaceDN w:val="0"/>
        <w:adjustRightInd w:val="0"/>
        <w:spacing w:after="0"/>
        <w:ind w:left="0"/>
        <w:rPr>
          <w:rFonts w:ascii="Arial" w:hAnsi="Arial" w:cs="Arial"/>
        </w:rPr>
      </w:pPr>
    </w:p>
    <w:p w14:paraId="300F67BA" w14:textId="09C33F78"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La Regione </w:t>
      </w:r>
      <w:r w:rsidR="007470DB" w:rsidRPr="007D79B7">
        <w:rPr>
          <w:rFonts w:ascii="Arial" w:hAnsi="Arial" w:cs="Arial"/>
        </w:rPr>
        <w:t>Emilia-</w:t>
      </w:r>
      <w:r w:rsidRPr="007D79B7">
        <w:rPr>
          <w:rFonts w:ascii="Arial" w:hAnsi="Arial" w:cs="Arial"/>
        </w:rPr>
        <w:t>Romagna si impegna a provvedere alla liquidazione entro i successivi 30 (trenta) giorni dal ricevimento della fattura elettronica.</w:t>
      </w:r>
    </w:p>
    <w:p w14:paraId="5A0B0DEE" w14:textId="77777777" w:rsidR="00D55EFA" w:rsidRPr="007D79B7" w:rsidRDefault="00D55EFA" w:rsidP="00D55EFA">
      <w:pPr>
        <w:autoSpaceDE w:val="0"/>
        <w:autoSpaceDN w:val="0"/>
        <w:adjustRightInd w:val="0"/>
        <w:spacing w:after="0"/>
        <w:ind w:left="0"/>
        <w:rPr>
          <w:rFonts w:ascii="Arial" w:hAnsi="Arial" w:cs="Arial"/>
        </w:rPr>
      </w:pPr>
    </w:p>
    <w:p w14:paraId="7522489C" w14:textId="77777777"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7 – CLAUSOLA DI ADESIONE</w:t>
      </w:r>
    </w:p>
    <w:p w14:paraId="3F48911E" w14:textId="77777777" w:rsidR="00D55EFA" w:rsidRPr="007D79B7" w:rsidRDefault="00D55EFA" w:rsidP="00D55EFA">
      <w:pPr>
        <w:autoSpaceDE w:val="0"/>
        <w:autoSpaceDN w:val="0"/>
        <w:adjustRightInd w:val="0"/>
        <w:spacing w:after="0"/>
        <w:ind w:left="0"/>
        <w:rPr>
          <w:rFonts w:ascii="Arial" w:hAnsi="Arial" w:cs="Arial"/>
        </w:rPr>
      </w:pPr>
    </w:p>
    <w:p w14:paraId="5DF3FCE5" w14:textId="61EDDAD0"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Il professionista si obbliga in ogni caso a rispettare e ad applicare le condizioni e le disposizioni contrattuali indicate nelle norme precedenti </w:t>
      </w:r>
      <w:bookmarkStart w:id="0" w:name="_Hlk502856220"/>
      <w:r w:rsidRPr="007D79B7">
        <w:rPr>
          <w:rFonts w:ascii="Arial" w:hAnsi="Arial" w:cs="Arial"/>
        </w:rPr>
        <w:t xml:space="preserve">ove pervenga richiesta facoltativa di adesione alla presente convenzione da parte delle compagnie assicuratrici della Regione </w:t>
      </w:r>
      <w:r w:rsidR="007470DB" w:rsidRPr="007D79B7">
        <w:rPr>
          <w:rFonts w:ascii="Arial" w:hAnsi="Arial" w:cs="Arial"/>
        </w:rPr>
        <w:t>Emilia-</w:t>
      </w:r>
      <w:r w:rsidRPr="007D79B7">
        <w:rPr>
          <w:rFonts w:ascii="Arial" w:hAnsi="Arial" w:cs="Arial"/>
        </w:rPr>
        <w:t xml:space="preserve">Romagna che ai sensi di polizza devono farsi carico in determinati giudizi delle spese legali gravanti sull’assicurato, </w:t>
      </w:r>
      <w:bookmarkEnd w:id="0"/>
      <w:r w:rsidRPr="007D79B7">
        <w:rPr>
          <w:rFonts w:ascii="Arial" w:hAnsi="Arial" w:cs="Arial"/>
        </w:rPr>
        <w:lastRenderedPageBreak/>
        <w:t>ovvero ancora da parte dei seguenti organi e/o enti e/o agenzie e/o società dipendenti o strumentali della Regione:</w:t>
      </w:r>
    </w:p>
    <w:p w14:paraId="7439C497"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Difensore Civico Regionale;</w:t>
      </w:r>
    </w:p>
    <w:p w14:paraId="6737C82B"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Garante per l’Infanzia e l’Adolescenza della Regione Emilia-Romagna;</w:t>
      </w:r>
    </w:p>
    <w:p w14:paraId="62070870"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Garante delle persone sottoposte a misure limitative o restrittive della libertà personale della Regione Emilia-Romagna;</w:t>
      </w:r>
    </w:p>
    <w:p w14:paraId="42DBA354" w14:textId="5DF4DE60"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 xml:space="preserve">Comitato Regionale per le Comunicazioni della Regione </w:t>
      </w:r>
      <w:r w:rsidR="00954CF5" w:rsidRPr="007D79B7">
        <w:rPr>
          <w:rFonts w:ascii="Arial" w:hAnsi="Arial" w:cs="Arial"/>
        </w:rPr>
        <w:t>Emilia-</w:t>
      </w:r>
      <w:r w:rsidRPr="007D79B7">
        <w:rPr>
          <w:rFonts w:ascii="Arial" w:hAnsi="Arial" w:cs="Arial"/>
        </w:rPr>
        <w:t>Romagna;</w:t>
      </w:r>
    </w:p>
    <w:p w14:paraId="7F15A3E8"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Consigliere di parità della Regione Emilia-Romagna;</w:t>
      </w:r>
    </w:p>
    <w:p w14:paraId="6DA11B5A"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Agenzia regionale per le erogazioni in agricoltura (AGREA);</w:t>
      </w:r>
    </w:p>
    <w:p w14:paraId="58A32F20"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Agenzia regionale per la sicurezza territoriale e la protezione civile;</w:t>
      </w:r>
    </w:p>
    <w:p w14:paraId="0753B9F7"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Agenzia per lo sviluppo dei mercati telematici (INTERCENT-ER);</w:t>
      </w:r>
    </w:p>
    <w:p w14:paraId="3211FC51"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Agenzia regionale per il lavoro;</w:t>
      </w:r>
    </w:p>
    <w:p w14:paraId="7709831E" w14:textId="77777777"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Azienda regionale per il diritto agli studi superiori (ER.GO);</w:t>
      </w:r>
    </w:p>
    <w:p w14:paraId="42F811FB" w14:textId="42757906" w:rsidR="00D55EFA" w:rsidRPr="007D79B7" w:rsidRDefault="00D55EFA" w:rsidP="00D55EFA">
      <w:pPr>
        <w:numPr>
          <w:ilvl w:val="0"/>
          <w:numId w:val="1"/>
        </w:numPr>
        <w:autoSpaceDE w:val="0"/>
        <w:autoSpaceDN w:val="0"/>
        <w:adjustRightInd w:val="0"/>
        <w:spacing w:after="0"/>
        <w:ind w:left="284" w:hanging="284"/>
        <w:rPr>
          <w:rFonts w:ascii="Arial" w:hAnsi="Arial" w:cs="Arial"/>
        </w:rPr>
      </w:pPr>
      <w:r w:rsidRPr="007D79B7">
        <w:rPr>
          <w:rFonts w:ascii="Arial" w:hAnsi="Arial" w:cs="Arial"/>
        </w:rPr>
        <w:t xml:space="preserve">Agenzia regionale per la prevenzione, </w:t>
      </w:r>
      <w:r w:rsidR="008830D9" w:rsidRPr="007D79B7">
        <w:rPr>
          <w:rFonts w:ascii="Arial" w:hAnsi="Arial" w:cs="Arial"/>
        </w:rPr>
        <w:t>l’ambiente</w:t>
      </w:r>
      <w:r w:rsidRPr="007D79B7">
        <w:rPr>
          <w:rFonts w:ascii="Arial" w:hAnsi="Arial" w:cs="Arial"/>
        </w:rPr>
        <w:t xml:space="preserve"> e l´energia dell´Emilia-Romagna (ARPAE);</w:t>
      </w:r>
    </w:p>
    <w:p w14:paraId="41D69C3B" w14:textId="77777777" w:rsidR="00D55EFA" w:rsidRPr="007D79B7" w:rsidRDefault="00D55EFA" w:rsidP="00D55EFA">
      <w:pPr>
        <w:numPr>
          <w:ilvl w:val="0"/>
          <w:numId w:val="2"/>
        </w:numPr>
        <w:autoSpaceDE w:val="0"/>
        <w:autoSpaceDN w:val="0"/>
        <w:adjustRightInd w:val="0"/>
        <w:spacing w:after="0"/>
        <w:ind w:left="284" w:hanging="284"/>
        <w:rPr>
          <w:rFonts w:ascii="Arial" w:hAnsi="Arial" w:cs="Arial"/>
        </w:rPr>
      </w:pPr>
      <w:r w:rsidRPr="007D79B7">
        <w:rPr>
          <w:rFonts w:ascii="Arial" w:hAnsi="Arial" w:cs="Arial"/>
        </w:rPr>
        <w:t>Consorzi fitosanitari provinciali;</w:t>
      </w:r>
    </w:p>
    <w:p w14:paraId="6134594D" w14:textId="77777777" w:rsidR="00D55EFA" w:rsidRPr="007D79B7" w:rsidRDefault="00D55EFA" w:rsidP="00D55EFA">
      <w:pPr>
        <w:numPr>
          <w:ilvl w:val="0"/>
          <w:numId w:val="2"/>
        </w:numPr>
        <w:autoSpaceDE w:val="0"/>
        <w:autoSpaceDN w:val="0"/>
        <w:adjustRightInd w:val="0"/>
        <w:spacing w:after="0"/>
        <w:ind w:left="284" w:hanging="284"/>
        <w:rPr>
          <w:rFonts w:ascii="Arial" w:hAnsi="Arial" w:cs="Arial"/>
          <w:lang w:val="en-US"/>
        </w:rPr>
      </w:pPr>
      <w:r w:rsidRPr="007D79B7">
        <w:rPr>
          <w:rFonts w:ascii="Arial" w:hAnsi="Arial" w:cs="Arial"/>
          <w:lang w:val="en-US"/>
        </w:rPr>
        <w:t>Art-er Soc. cons. p.a.;</w:t>
      </w:r>
    </w:p>
    <w:p w14:paraId="3052BEF5" w14:textId="77777777" w:rsidR="00D55EFA" w:rsidRPr="007D79B7" w:rsidRDefault="00D55EFA" w:rsidP="00D55EFA">
      <w:pPr>
        <w:numPr>
          <w:ilvl w:val="0"/>
          <w:numId w:val="2"/>
        </w:numPr>
        <w:autoSpaceDE w:val="0"/>
        <w:autoSpaceDN w:val="0"/>
        <w:adjustRightInd w:val="0"/>
        <w:spacing w:after="0"/>
        <w:ind w:left="284" w:hanging="284"/>
        <w:rPr>
          <w:rFonts w:ascii="Arial" w:hAnsi="Arial" w:cs="Arial"/>
        </w:rPr>
      </w:pPr>
      <w:r w:rsidRPr="007D79B7">
        <w:rPr>
          <w:rFonts w:ascii="Arial" w:hAnsi="Arial" w:cs="Arial"/>
        </w:rPr>
        <w:t>Lepida Soc. cons. p.a.;</w:t>
      </w:r>
    </w:p>
    <w:p w14:paraId="71748AA0" w14:textId="77777777" w:rsidR="00D55EFA" w:rsidRPr="007D79B7" w:rsidRDefault="00D55EFA" w:rsidP="00D55EFA">
      <w:pPr>
        <w:numPr>
          <w:ilvl w:val="0"/>
          <w:numId w:val="2"/>
        </w:numPr>
        <w:autoSpaceDE w:val="0"/>
        <w:autoSpaceDN w:val="0"/>
        <w:adjustRightInd w:val="0"/>
        <w:spacing w:after="0"/>
        <w:ind w:left="284" w:hanging="284"/>
        <w:rPr>
          <w:rFonts w:ascii="Arial" w:hAnsi="Arial" w:cs="Arial"/>
        </w:rPr>
      </w:pPr>
      <w:r w:rsidRPr="007D79B7">
        <w:rPr>
          <w:rFonts w:ascii="Arial" w:hAnsi="Arial" w:cs="Arial"/>
        </w:rPr>
        <w:t>APT Servizi S.r.l.;</w:t>
      </w:r>
    </w:p>
    <w:p w14:paraId="1EF72339" w14:textId="2F3FAB17" w:rsidR="00D55EFA" w:rsidRPr="007D79B7" w:rsidRDefault="00D55EFA" w:rsidP="00D55EFA">
      <w:pPr>
        <w:numPr>
          <w:ilvl w:val="0"/>
          <w:numId w:val="2"/>
        </w:numPr>
        <w:autoSpaceDE w:val="0"/>
        <w:autoSpaceDN w:val="0"/>
        <w:adjustRightInd w:val="0"/>
        <w:spacing w:after="0"/>
        <w:ind w:left="284" w:hanging="284"/>
        <w:rPr>
          <w:rFonts w:ascii="Arial" w:hAnsi="Arial" w:cs="Arial"/>
        </w:rPr>
      </w:pPr>
      <w:r w:rsidRPr="007D79B7">
        <w:rPr>
          <w:rFonts w:ascii="Arial" w:hAnsi="Arial" w:cs="Arial"/>
        </w:rPr>
        <w:t>Ferrovie Emilia</w:t>
      </w:r>
      <w:r w:rsidR="00954CF5" w:rsidRPr="007D79B7">
        <w:rPr>
          <w:rFonts w:ascii="Arial" w:hAnsi="Arial" w:cs="Arial"/>
        </w:rPr>
        <w:t>-</w:t>
      </w:r>
      <w:r w:rsidRPr="007D79B7">
        <w:rPr>
          <w:rFonts w:ascii="Arial" w:hAnsi="Arial" w:cs="Arial"/>
        </w:rPr>
        <w:t>Romagna S.r.l.</w:t>
      </w:r>
    </w:p>
    <w:p w14:paraId="1F967389" w14:textId="1C4A89A8" w:rsidR="00C32BE5" w:rsidRPr="007D79B7" w:rsidRDefault="00C32BE5" w:rsidP="00C32BE5">
      <w:pPr>
        <w:autoSpaceDE w:val="0"/>
        <w:autoSpaceDN w:val="0"/>
        <w:adjustRightInd w:val="0"/>
        <w:spacing w:after="0"/>
        <w:ind w:left="0"/>
        <w:rPr>
          <w:rFonts w:ascii="Arial" w:hAnsi="Arial" w:cs="Arial"/>
        </w:rPr>
      </w:pPr>
    </w:p>
    <w:p w14:paraId="7DC0BCA3" w14:textId="77777777" w:rsidR="00D55EFA" w:rsidRPr="007D79B7" w:rsidRDefault="00D55EFA" w:rsidP="00D55EFA">
      <w:pPr>
        <w:autoSpaceDE w:val="0"/>
        <w:autoSpaceDN w:val="0"/>
        <w:adjustRightInd w:val="0"/>
        <w:spacing w:after="0"/>
        <w:ind w:left="0"/>
        <w:rPr>
          <w:rFonts w:ascii="Arial" w:hAnsi="Arial" w:cs="Arial"/>
          <w:b/>
        </w:rPr>
      </w:pPr>
      <w:r w:rsidRPr="007D79B7">
        <w:rPr>
          <w:rFonts w:ascii="Arial" w:hAnsi="Arial" w:cs="Arial"/>
          <w:b/>
        </w:rPr>
        <w:t>ART. 8 – CANCELLAZIONE DALL’ELENCO</w:t>
      </w:r>
    </w:p>
    <w:p w14:paraId="6611A5C9" w14:textId="77777777" w:rsidR="00D55EFA" w:rsidRPr="007D79B7" w:rsidRDefault="00D55EFA" w:rsidP="00D55EFA">
      <w:pPr>
        <w:autoSpaceDE w:val="0"/>
        <w:autoSpaceDN w:val="0"/>
        <w:adjustRightInd w:val="0"/>
        <w:spacing w:after="0"/>
        <w:ind w:left="0"/>
        <w:rPr>
          <w:rFonts w:ascii="Arial" w:hAnsi="Arial" w:cs="Arial"/>
        </w:rPr>
      </w:pPr>
    </w:p>
    <w:p w14:paraId="4E11F180" w14:textId="218CFF5F" w:rsidR="00D55EFA" w:rsidRPr="007D79B7" w:rsidRDefault="00D55EFA" w:rsidP="00D55EFA">
      <w:pPr>
        <w:autoSpaceDE w:val="0"/>
        <w:autoSpaceDN w:val="0"/>
        <w:adjustRightInd w:val="0"/>
        <w:spacing w:after="0"/>
        <w:ind w:left="0"/>
        <w:rPr>
          <w:rFonts w:ascii="Arial" w:hAnsi="Arial" w:cs="Arial"/>
        </w:rPr>
      </w:pPr>
      <w:r w:rsidRPr="007D79B7">
        <w:rPr>
          <w:rFonts w:ascii="Arial" w:hAnsi="Arial" w:cs="Arial"/>
        </w:rPr>
        <w:t xml:space="preserve">La Regione </w:t>
      </w:r>
      <w:r w:rsidR="00954CF5" w:rsidRPr="007D79B7">
        <w:rPr>
          <w:rFonts w:ascii="Arial" w:hAnsi="Arial" w:cs="Arial"/>
        </w:rPr>
        <w:t>Emilia-</w:t>
      </w:r>
      <w:r w:rsidRPr="007D79B7">
        <w:rPr>
          <w:rFonts w:ascii="Arial" w:hAnsi="Arial" w:cs="Arial"/>
        </w:rPr>
        <w:t>Romagna dispone la cancellazione dall’Elenco del professionista che:</w:t>
      </w:r>
    </w:p>
    <w:p w14:paraId="499C0AD3" w14:textId="2844463A" w:rsidR="00997243" w:rsidRPr="007D79B7" w:rsidRDefault="00997243"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 xml:space="preserve">ne </w:t>
      </w:r>
      <w:r w:rsidR="00C2735F" w:rsidRPr="007D79B7">
        <w:rPr>
          <w:rFonts w:ascii="Arial" w:hAnsi="Arial" w:cs="Arial"/>
        </w:rPr>
        <w:t>faccia</w:t>
      </w:r>
      <w:r w:rsidRPr="007D79B7">
        <w:rPr>
          <w:rFonts w:ascii="Arial" w:hAnsi="Arial" w:cs="Arial"/>
        </w:rPr>
        <w:t xml:space="preserve"> richiesta</w:t>
      </w:r>
      <w:r w:rsidR="00A92632" w:rsidRPr="007D79B7">
        <w:rPr>
          <w:rFonts w:ascii="Arial" w:hAnsi="Arial" w:cs="Arial"/>
        </w:rPr>
        <w:t xml:space="preserve"> esclusivamente a mezzo posta elettronica certificata personale al seguente indirizzo PEC: </w:t>
      </w:r>
      <w:hyperlink r:id="rId5" w:history="1">
        <w:r w:rsidR="00F14F00" w:rsidRPr="007D79B7">
          <w:rPr>
            <w:rStyle w:val="Collegamentoipertestuale"/>
            <w:rFonts w:ascii="Arial" w:hAnsi="Arial" w:cs="Arial"/>
            <w:color w:val="auto"/>
          </w:rPr>
          <w:t>avvocatura@postacert.regione.emilia-romagna.it</w:t>
        </w:r>
      </w:hyperlink>
      <w:r w:rsidR="00C2735F" w:rsidRPr="007D79B7">
        <w:rPr>
          <w:rFonts w:ascii="Arial" w:hAnsi="Arial" w:cs="Arial"/>
        </w:rPr>
        <w:t>;</w:t>
      </w:r>
    </w:p>
    <w:p w14:paraId="216AA168" w14:textId="54227980" w:rsidR="00D55EFA" w:rsidRPr="007D79B7" w:rsidRDefault="00D55EFA"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 xml:space="preserve">abbia perso i requisiti di iscrizione o ne sia risultato sprovvisto </w:t>
      </w:r>
      <w:r w:rsidRPr="007D79B7">
        <w:rPr>
          <w:rFonts w:ascii="Arial" w:hAnsi="Arial" w:cs="Arial"/>
          <w:i/>
        </w:rPr>
        <w:t>ab origine</w:t>
      </w:r>
      <w:r w:rsidRPr="007D79B7">
        <w:rPr>
          <w:rFonts w:ascii="Arial" w:hAnsi="Arial" w:cs="Arial"/>
        </w:rPr>
        <w:t xml:space="preserve"> all’esito di controlli sulla veridicità delle autodichiarazioni presentate;</w:t>
      </w:r>
    </w:p>
    <w:p w14:paraId="12BEC775" w14:textId="77777777" w:rsidR="00D55EFA" w:rsidRPr="007D79B7" w:rsidRDefault="00D55EFA"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sia venuto meno agli obblighi assunti con la domanda di iscrizione e con la sottoscrizione della convenzione;</w:t>
      </w:r>
    </w:p>
    <w:p w14:paraId="3BF6A194" w14:textId="77777777" w:rsidR="00D55EFA" w:rsidRPr="007D79B7" w:rsidRDefault="00D55EFA"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sia stato cancellato o sospeso o radiato dall’Albo professionale di appartenenza;</w:t>
      </w:r>
    </w:p>
    <w:p w14:paraId="7FA18EF1" w14:textId="77777777" w:rsidR="00D55EFA" w:rsidRPr="007D79B7" w:rsidRDefault="00D55EFA"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non abbia adempiuto con puntualità e diligenza all’incarico conferito;</w:t>
      </w:r>
    </w:p>
    <w:p w14:paraId="73F5AE21" w14:textId="77777777" w:rsidR="00D55EFA" w:rsidRPr="007D79B7" w:rsidRDefault="00D55EFA"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 xml:space="preserve">abbia tenuto comportamenti in malafede nell'esecuzione delle prestazioni affidate e/o in violazione degli obblighi deontologici dell'avvocato e/o in situazioni di conflitto di interessi o incompatibilità </w:t>
      </w:r>
      <w:r w:rsidRPr="007D79B7">
        <w:rPr>
          <w:rFonts w:ascii="Arial" w:hAnsi="Arial" w:cs="Arial"/>
          <w:i/>
        </w:rPr>
        <w:t>ex lege</w:t>
      </w:r>
      <w:r w:rsidRPr="007D79B7">
        <w:rPr>
          <w:rFonts w:ascii="Arial" w:hAnsi="Arial" w:cs="Arial"/>
        </w:rPr>
        <w:t xml:space="preserve"> rispetto allo svolgimento dell’attività professionale;</w:t>
      </w:r>
    </w:p>
    <w:p w14:paraId="33262E7C" w14:textId="77777777" w:rsidR="00D55EFA" w:rsidRPr="007D79B7" w:rsidRDefault="00D55EFA" w:rsidP="00D55EFA">
      <w:pPr>
        <w:numPr>
          <w:ilvl w:val="1"/>
          <w:numId w:val="1"/>
        </w:numPr>
        <w:autoSpaceDE w:val="0"/>
        <w:autoSpaceDN w:val="0"/>
        <w:adjustRightInd w:val="0"/>
        <w:spacing w:after="0"/>
        <w:ind w:left="284" w:hanging="284"/>
        <w:rPr>
          <w:rFonts w:ascii="Arial" w:hAnsi="Arial" w:cs="Arial"/>
        </w:rPr>
      </w:pPr>
      <w:r w:rsidRPr="007D79B7">
        <w:rPr>
          <w:rFonts w:ascii="Arial" w:hAnsi="Arial" w:cs="Arial"/>
        </w:rPr>
        <w:t>si sia reso responsabile di illeciti anche per fatti estranei all’attività professionale.</w:t>
      </w:r>
    </w:p>
    <w:p w14:paraId="2B8FF64C" w14:textId="77777777" w:rsidR="008830D9" w:rsidRPr="007D79B7" w:rsidRDefault="008830D9"/>
    <w:p w14:paraId="59E46E9C" w14:textId="77777777" w:rsidR="005B6FA2" w:rsidRPr="007D79B7" w:rsidRDefault="005B6FA2" w:rsidP="008830D9">
      <w:pPr>
        <w:ind w:left="0"/>
        <w:jc w:val="right"/>
      </w:pPr>
    </w:p>
    <w:p w14:paraId="1027F8E7" w14:textId="5621631F" w:rsidR="008830D9" w:rsidRPr="005629F9" w:rsidRDefault="008830D9" w:rsidP="008830D9">
      <w:pPr>
        <w:ind w:left="0"/>
        <w:jc w:val="right"/>
        <w:rPr>
          <w:rFonts w:ascii="Arial" w:hAnsi="Arial" w:cs="Arial"/>
          <w:i/>
          <w:iCs/>
          <w:color w:val="000000"/>
        </w:rPr>
      </w:pPr>
      <w:r w:rsidRPr="007D79B7">
        <w:rPr>
          <w:rFonts w:ascii="Arial" w:hAnsi="Arial" w:cs="Arial"/>
          <w:i/>
          <w:iCs/>
        </w:rPr>
        <w:t>Sottoscrizione digitale del professionista</w:t>
      </w:r>
    </w:p>
    <w:sectPr w:rsidR="008830D9" w:rsidRPr="005629F9" w:rsidSect="0058752C">
      <w:pgSz w:w="11906" w:h="16838"/>
      <w:pgMar w:top="1418" w:right="1134" w:bottom="851" w:left="1134" w:header="709" w:footer="31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charset w:val="00"/>
    <w:family w:val="swiss"/>
    <w:pitch w:val="variable"/>
    <w:sig w:usb0="E0002AFF" w:usb1="C0007843" w:usb2="00000009" w:usb3="00000000" w:csb0="000001FF" w:csb1="00000000"/>
  </w:font>
  <w:font w:name="Arial-BoldMT">
    <w:altName w:val="Arial"/>
    <w:charset w:val="00"/>
    <w:family w:val="swiss"/>
    <w:pitch w:val="variable"/>
    <w:sig w:usb0="00000000"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128"/>
    <w:multiLevelType w:val="hybridMultilevel"/>
    <w:tmpl w:val="5DA289E2"/>
    <w:lvl w:ilvl="0" w:tplc="477CC732">
      <w:numFmt w:val="bullet"/>
      <w:lvlText w:val="-"/>
      <w:lvlJc w:val="left"/>
      <w:pPr>
        <w:ind w:left="720" w:hanging="360"/>
      </w:pPr>
      <w:rPr>
        <w:rFonts w:ascii="Arial" w:eastAsia="Calibri" w:hAnsi="Arial" w:cs="Arial" w:hint="default"/>
      </w:rPr>
    </w:lvl>
    <w:lvl w:ilvl="1" w:tplc="2870D76C">
      <w:numFmt w:val="bullet"/>
      <w:lvlText w:val="•"/>
      <w:lvlJc w:val="left"/>
      <w:pPr>
        <w:ind w:left="1440" w:hanging="360"/>
      </w:pPr>
      <w:rPr>
        <w:rFonts w:ascii="Arial" w:eastAsia="Calibr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5D0B72"/>
    <w:multiLevelType w:val="hybridMultilevel"/>
    <w:tmpl w:val="A9886504"/>
    <w:lvl w:ilvl="0" w:tplc="670A80BC">
      <w:start w:val="14"/>
      <w:numFmt w:val="bullet"/>
      <w:lvlText w:val="-"/>
      <w:lvlJc w:val="left"/>
      <w:pPr>
        <w:ind w:left="1430" w:hanging="710"/>
      </w:pPr>
      <w:rPr>
        <w:rFonts w:ascii="ArialMT" w:eastAsia="Calibri" w:hAnsi="ArialMT" w:cs="ArialM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5F404BA"/>
    <w:multiLevelType w:val="hybridMultilevel"/>
    <w:tmpl w:val="128CC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0B80013"/>
    <w:multiLevelType w:val="hybridMultilevel"/>
    <w:tmpl w:val="F154BC12"/>
    <w:lvl w:ilvl="0" w:tplc="477CC73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3665698">
    <w:abstractNumId w:val="0"/>
  </w:num>
  <w:num w:numId="2" w16cid:durableId="352658265">
    <w:abstractNumId w:val="3"/>
  </w:num>
  <w:num w:numId="3" w16cid:durableId="1202668510">
    <w:abstractNumId w:val="1"/>
  </w:num>
  <w:num w:numId="4" w16cid:durableId="1473789074">
    <w:abstractNumId w:val="1"/>
  </w:num>
  <w:num w:numId="5" w16cid:durableId="1082948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A"/>
    <w:rsid w:val="00015B67"/>
    <w:rsid w:val="00046870"/>
    <w:rsid w:val="00060FB1"/>
    <w:rsid w:val="0006174B"/>
    <w:rsid w:val="00067F6E"/>
    <w:rsid w:val="0007202E"/>
    <w:rsid w:val="0011067C"/>
    <w:rsid w:val="001B2C01"/>
    <w:rsid w:val="00203B26"/>
    <w:rsid w:val="002609E1"/>
    <w:rsid w:val="00274C8E"/>
    <w:rsid w:val="00294D0D"/>
    <w:rsid w:val="00296BFD"/>
    <w:rsid w:val="00377A91"/>
    <w:rsid w:val="003E0C63"/>
    <w:rsid w:val="003F5976"/>
    <w:rsid w:val="0047051B"/>
    <w:rsid w:val="00474E86"/>
    <w:rsid w:val="004B59BF"/>
    <w:rsid w:val="00512EF5"/>
    <w:rsid w:val="0051335D"/>
    <w:rsid w:val="00514E0D"/>
    <w:rsid w:val="0051744A"/>
    <w:rsid w:val="005234A9"/>
    <w:rsid w:val="005276EE"/>
    <w:rsid w:val="0053249E"/>
    <w:rsid w:val="00541178"/>
    <w:rsid w:val="005629F9"/>
    <w:rsid w:val="005B6FA2"/>
    <w:rsid w:val="005C1255"/>
    <w:rsid w:val="005D32D3"/>
    <w:rsid w:val="00601EDC"/>
    <w:rsid w:val="00617D62"/>
    <w:rsid w:val="006F6FCE"/>
    <w:rsid w:val="00734B59"/>
    <w:rsid w:val="007470DB"/>
    <w:rsid w:val="00750EBA"/>
    <w:rsid w:val="00787BF0"/>
    <w:rsid w:val="007A467F"/>
    <w:rsid w:val="007D1985"/>
    <w:rsid w:val="007D76FB"/>
    <w:rsid w:val="007D79B7"/>
    <w:rsid w:val="008830D9"/>
    <w:rsid w:val="00894D1C"/>
    <w:rsid w:val="008F727C"/>
    <w:rsid w:val="00907203"/>
    <w:rsid w:val="00954CF5"/>
    <w:rsid w:val="00973680"/>
    <w:rsid w:val="009826C8"/>
    <w:rsid w:val="00997243"/>
    <w:rsid w:val="009D61EC"/>
    <w:rsid w:val="00A05C8A"/>
    <w:rsid w:val="00A724D5"/>
    <w:rsid w:val="00A92632"/>
    <w:rsid w:val="00B37F4A"/>
    <w:rsid w:val="00B57349"/>
    <w:rsid w:val="00C25661"/>
    <w:rsid w:val="00C2689B"/>
    <w:rsid w:val="00C2735F"/>
    <w:rsid w:val="00C32BE5"/>
    <w:rsid w:val="00C41419"/>
    <w:rsid w:val="00C51D97"/>
    <w:rsid w:val="00C711DB"/>
    <w:rsid w:val="00C82624"/>
    <w:rsid w:val="00CF4DF0"/>
    <w:rsid w:val="00D44467"/>
    <w:rsid w:val="00D55EFA"/>
    <w:rsid w:val="00D6673C"/>
    <w:rsid w:val="00D855B0"/>
    <w:rsid w:val="00DC76CB"/>
    <w:rsid w:val="00DD1D87"/>
    <w:rsid w:val="00E17667"/>
    <w:rsid w:val="00E41C07"/>
    <w:rsid w:val="00E46637"/>
    <w:rsid w:val="00E7464E"/>
    <w:rsid w:val="00F14F00"/>
    <w:rsid w:val="00F16920"/>
    <w:rsid w:val="00F635B6"/>
    <w:rsid w:val="00F90796"/>
    <w:rsid w:val="00F973D4"/>
    <w:rsid w:val="00FB0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9A33"/>
  <w15:chartTrackingRefBased/>
  <w15:docId w15:val="{0A573DD7-DBC9-4BA5-A834-AF4D2E8D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5EFA"/>
    <w:pPr>
      <w:spacing w:after="240" w:line="240" w:lineRule="auto"/>
      <w:ind w:left="709"/>
      <w:jc w:val="both"/>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57349"/>
    <w:pPr>
      <w:ind w:left="720"/>
      <w:contextualSpacing/>
    </w:pPr>
  </w:style>
  <w:style w:type="character" w:styleId="Collegamentoipertestuale">
    <w:name w:val="Hyperlink"/>
    <w:basedOn w:val="Carpredefinitoparagrafo"/>
    <w:uiPriority w:val="99"/>
    <w:unhideWhenUsed/>
    <w:rsid w:val="00F14F00"/>
    <w:rPr>
      <w:color w:val="0563C1" w:themeColor="hyperlink"/>
      <w:u w:val="single"/>
    </w:rPr>
  </w:style>
  <w:style w:type="character" w:styleId="Menzionenonrisolta">
    <w:name w:val="Unresolved Mention"/>
    <w:basedOn w:val="Carpredefinitoparagrafo"/>
    <w:uiPriority w:val="99"/>
    <w:semiHidden/>
    <w:unhideWhenUsed/>
    <w:rsid w:val="00F14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7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vvocatura@postacert.regione.emilia-romag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1878</Words>
  <Characters>10709</Characters>
  <Application>Microsoft Office Word</Application>
  <DocSecurity>0</DocSecurity>
  <Lines>89</Lines>
  <Paragraphs>25</Paragraphs>
  <ScaleCrop>false</ScaleCrop>
  <Company>Regione Emilia-Romagna</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Roversi Elisa</dc:creator>
  <cp:keywords/>
  <dc:description/>
  <cp:lastModifiedBy>Marchitelli Erminia</cp:lastModifiedBy>
  <cp:revision>39</cp:revision>
  <dcterms:created xsi:type="dcterms:W3CDTF">2025-01-17T14:39:00Z</dcterms:created>
  <dcterms:modified xsi:type="dcterms:W3CDTF">2026-04-29T09:27:00Z</dcterms:modified>
</cp:coreProperties>
</file>